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Группа компаний «Аквариус»</w:t>
      </w:r>
      <w:r w:rsidDel="00000000" w:rsidR="00000000" w:rsidRPr="00000000">
        <w:rPr>
          <w:sz w:val="24"/>
          <w:szCs w:val="24"/>
          <w:rtl w:val="0"/>
        </w:rPr>
        <w:t xml:space="preserve">, один из ведущих российских разработчиков и производителей компьютерной техники, ИТ-оборудования и решений, осуществляет полный цикл создания высокотехнологичных продуктов на территории России.</w:t>
      </w:r>
    </w:p>
    <w:p w:rsidR="00000000" w:rsidDel="00000000" w:rsidP="00000000" w:rsidRDefault="00000000" w:rsidRPr="00000000" w14:paraId="00000002">
      <w:pPr>
        <w:shd w:fill="ffffff" w:val="clear"/>
        <w:spacing w:after="200" w:lineRule="auto"/>
        <w:rPr>
          <w:color w:val="1a1a1a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В группу компаний входят </w:t>
      </w:r>
      <w:r w:rsidDel="00000000" w:rsidR="00000000" w:rsidRPr="00000000">
        <w:rPr>
          <w:sz w:val="24"/>
          <w:szCs w:val="24"/>
          <w:rtl w:val="0"/>
        </w:rPr>
        <w:t xml:space="preserve">производственная компания «Аквариус», включающая три центра разработки и два современных производственных комплекса в Шуе и Твери, а также заметные игроки своих сегментов: «Аэродиск» — российский разработчик СХД и гиперконвергентных вычислительных комплексов, «Немифист» — производитель высокопроизводительных автоматизированных рабочих мест (ВАРМ), графических и рабочих станций, серверов и мощных персональных компьютеров.</w:t>
      </w:r>
      <w:r w:rsidDel="00000000" w:rsidR="00000000" w:rsidRPr="00000000">
        <w:rPr>
          <w:color w:val="1a1a1a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Продукции «Аквариус» доверяют крупные государственные и частные компании из разных отраслей.</w:t>
      </w:r>
      <w:r w:rsidDel="00000000" w:rsidR="00000000" w:rsidRPr="00000000">
        <w:rPr>
          <w:sz w:val="24"/>
          <w:szCs w:val="24"/>
          <w:rtl w:val="0"/>
        </w:rPr>
        <w:t xml:space="preserve"> Серверы, системы хранения данных и телекоммуникационное оборудование успешно используются такими компаниями, как «Почта России», «Газпром», «Транснефть», «Роснефть», VK, «Тандер». Современное оборудование и клиентские устройства для работы с населением в государственных органах поставляются в Минздрав, Минтруд, Минцифры, Федеральное медико-биологическое агентство России и другие организации.</w:t>
      </w:r>
    </w:p>
    <w:p w:rsidR="00000000" w:rsidDel="00000000" w:rsidP="00000000" w:rsidRDefault="00000000" w:rsidRPr="00000000" w14:paraId="00000004">
      <w:pPr>
        <w:shd w:fill="ffffff" w:val="clear"/>
        <w:spacing w:after="2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Широкие технологические разработки позволяют предлагать заказчикам комплексные ИТ-решения:</w:t>
      </w:r>
    </w:p>
    <w:p w:rsidR="00000000" w:rsidDel="00000000" w:rsidP="00000000" w:rsidRDefault="00000000" w:rsidRPr="00000000" w14:paraId="00000005">
      <w:pPr>
        <w:shd w:fill="ffffff" w:val="clear"/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      </w:t>
        <w:tab/>
        <w:t xml:space="preserve">Серверы оборудованы модулем удаленного управления собственной разработки, внесенным в реестр Минцифры.</w:t>
      </w:r>
    </w:p>
    <w:p w:rsidR="00000000" w:rsidDel="00000000" w:rsidP="00000000" w:rsidRDefault="00000000" w:rsidRPr="00000000" w14:paraId="00000006">
      <w:pPr>
        <w:shd w:fill="ffffff" w:val="clear"/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      </w:t>
        <w:tab/>
        <w:t xml:space="preserve">Программно-аппаратные комплексы дают бизнесу возможность разворачивать среду частного облака и резервного копирования данных.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      </w:t>
        <w:tab/>
        <w:t xml:space="preserve">Помимо встроенных механизмов защиты на аппаратном и микропрограммном уровнях, партнерские решения дополнительно обеспечивают безопасность данных на уровне операционной системы и приложений, создавая комплексную систему защиты данных.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